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F3A" w:rsidP="34A8FF2F" w:rsidRDefault="006C6668" w14:paraId="3BCDF3CB" w14:textId="6D28CD4B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8"/>
          <w:szCs w:val="28"/>
          <w:u w:val="none"/>
          <w:lang w:val="en-US"/>
        </w:rPr>
      </w:pPr>
      <w:r w:rsidRPr="33D4FD36" w:rsidR="006C6668">
        <w:rPr>
          <w:rStyle w:val="normaltextrun"/>
          <w:rFonts w:ascii="Calibri" w:hAnsi="Calibri" w:cs="Calibri"/>
          <w:b w:val="1"/>
          <w:bCs w:val="1"/>
          <w:sz w:val="28"/>
          <w:szCs w:val="28"/>
          <w:u w:val="single"/>
          <w:lang w:val="en-US"/>
        </w:rPr>
        <w:t>Human Rights Assessments</w:t>
      </w:r>
      <w:r w:rsidRPr="33D4FD36" w:rsidR="006C6668">
        <w:rPr>
          <w:rStyle w:val="eop"/>
          <w:rFonts w:ascii="Calibri" w:hAnsi="Calibri" w:cs="Calibri"/>
          <w:b w:val="1"/>
          <w:bCs w:val="1"/>
          <w:sz w:val="28"/>
          <w:szCs w:val="28"/>
        </w:rPr>
        <w:t> </w:t>
      </w:r>
      <w:r>
        <w:br/>
      </w:r>
      <w:r w:rsidRPr="33D4FD36" w:rsidR="2F12C968">
        <w:rPr>
          <w:rStyle w:val="eop"/>
          <w:rFonts w:ascii="Calibri" w:hAnsi="Calibri" w:cs="Calibri"/>
          <w:b w:val="1"/>
          <w:bCs w:val="1"/>
          <w:sz w:val="28"/>
          <w:szCs w:val="28"/>
          <w:u w:val="none"/>
        </w:rPr>
        <w:t xml:space="preserve">December </w:t>
      </w:r>
      <w:r w:rsidRPr="33D4FD36" w:rsidR="24493F41">
        <w:rPr>
          <w:rStyle w:val="eop"/>
          <w:rFonts w:ascii="Calibri" w:hAnsi="Calibri" w:cs="Calibri"/>
          <w:b w:val="1"/>
          <w:bCs w:val="1"/>
          <w:sz w:val="28"/>
          <w:szCs w:val="28"/>
          <w:u w:val="none"/>
        </w:rPr>
        <w:t>2024</w:t>
      </w:r>
    </w:p>
    <w:p w:rsidR="00630F3A" w:rsidP="3F35D602" w:rsidRDefault="006C6668" w14:paraId="5EA42D5B" w14:textId="60E18B70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</w:pPr>
    </w:p>
    <w:p w:rsidR="00630F3A" w:rsidP="34A8FF2F" w:rsidRDefault="006C6668" w14:paraId="42B4BB21" w14:textId="20DF6F6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</w:pPr>
      <w:r w:rsidRPr="33D4FD36" w:rsidR="006C6668"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  <w:t>Who is this information for?</w:t>
      </w:r>
    </w:p>
    <w:p w:rsidR="006C6668" w:rsidP="33D4FD36" w:rsidRDefault="006C6668" w14:paraId="64E46A72" w14:textId="2A7BA61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eop"/>
          <w:rFonts w:ascii="Calibri" w:hAnsi="Calibri" w:cs="Calibri"/>
          <w:sz w:val="22"/>
          <w:szCs w:val="22"/>
        </w:rPr>
        <w:t> </w:t>
      </w:r>
    </w:p>
    <w:p w:rsidR="006C6668" w:rsidP="34A8FF2F" w:rsidRDefault="006C6668" w14:paraId="0D3777C8" w14:textId="7A299C7E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This information about human rights assessments is for </w:t>
      </w:r>
      <w:r w:rsidRPr="33D4FD36" w:rsidR="38C10667">
        <w:rPr>
          <w:rStyle w:val="normaltextrun"/>
          <w:rFonts w:ascii="Calibri" w:hAnsi="Calibri" w:cs="Calibri"/>
          <w:sz w:val="22"/>
          <w:szCs w:val="22"/>
          <w:lang w:val="en-US"/>
        </w:rPr>
        <w:t>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ocal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33D4FD36" w:rsidR="7AC72012">
        <w:rPr>
          <w:rStyle w:val="normaltextrun"/>
          <w:rFonts w:ascii="Calibri" w:hAnsi="Calibri" w:cs="Calibri"/>
          <w:sz w:val="22"/>
          <w:szCs w:val="22"/>
          <w:lang w:val="en-US"/>
        </w:rPr>
        <w:t>au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thorities in the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North West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of England, who are supporting separated children and young people seeking asylum in the UK and care leavers.</w:t>
      </w:r>
    </w:p>
    <w:p w:rsidR="006C6668" w:rsidP="34A8FF2F" w:rsidRDefault="006C6668" w14:paraId="5C52F052" w14:textId="1918C0AD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It covers what a human rights assessment is</w:t>
      </w:r>
      <w:r w:rsidRPr="33D4FD36" w:rsidR="03DAF68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when they should be carried out</w:t>
      </w:r>
      <w:r w:rsidRPr="33D4FD36" w:rsidR="531B545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and how to </w:t>
      </w:r>
      <w:r w:rsidRPr="33D4FD36" w:rsidR="531B545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plan for </w:t>
      </w:r>
      <w:r w:rsidRPr="33D4FD36" w:rsidR="531B545C">
        <w:rPr>
          <w:rStyle w:val="normaltextrun"/>
          <w:rFonts w:ascii="Calibri" w:hAnsi="Calibri" w:cs="Calibri"/>
          <w:sz w:val="22"/>
          <w:szCs w:val="22"/>
          <w:lang w:val="en-US"/>
        </w:rPr>
        <w:t>the safety of young people who are facing a human rights assessment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</w:p>
    <w:p w:rsidR="34A8FF2F" w:rsidP="34A8FF2F" w:rsidRDefault="34A8FF2F" w14:paraId="163A907F" w14:textId="5598A106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4A8FF2F" w:rsidTr="33D4FD36" w14:paraId="06251D68">
        <w:trPr>
          <w:trHeight w:val="300"/>
        </w:trPr>
        <w:tc>
          <w:tcPr>
            <w:tcW w:w="9015" w:type="dxa"/>
            <w:tcMar/>
          </w:tcPr>
          <w:p w:rsidR="2679B99F" w:rsidP="34A8FF2F" w:rsidRDefault="2679B99F" w14:paraId="785421AE" w14:textId="01F01086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  <w:rFonts w:ascii="Calibri" w:hAnsi="Calibri" w:cs="Calibri"/>
                <w:sz w:val="24"/>
                <w:szCs w:val="24"/>
                <w:u w:val="single"/>
                <w:lang w:val="en-US"/>
              </w:rPr>
            </w:pPr>
            <w:r w:rsidRPr="33D4FD36" w:rsidR="2679B99F">
              <w:rPr>
                <w:rStyle w:val="normaltextrun"/>
                <w:rFonts w:ascii="Calibri" w:hAnsi="Calibri" w:cs="Calibri"/>
                <w:sz w:val="24"/>
                <w:szCs w:val="24"/>
                <w:u w:val="single"/>
                <w:lang w:val="en-US"/>
              </w:rPr>
              <w:t>What is a human rights assessment?</w:t>
            </w:r>
          </w:p>
          <w:p w:rsidR="34A8FF2F" w:rsidP="34A8FF2F" w:rsidRDefault="34A8FF2F" w14:paraId="539B0FAE" w14:textId="072E4EBB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  <w:u w:val="single"/>
                <w:lang w:val="en-US"/>
              </w:rPr>
            </w:pPr>
          </w:p>
          <w:p w:rsidR="2679B99F" w:rsidP="34A8FF2F" w:rsidRDefault="2679B99F" w14:paraId="7DF9763B" w14:textId="160EB99E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When a care leaver has an asylum claim refused with no pending appeal, their local authority </w:t>
            </w:r>
            <w:r w:rsidRPr="33D4FD36" w:rsidR="2679B99F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  <w:lang w:val="en-US"/>
              </w:rPr>
              <w:t>must not end their support</w:t>
            </w: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without completing a </w:t>
            </w:r>
            <w:r w:rsidRPr="33D4FD36" w:rsidR="2679B99F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  <w:lang w:val="en-US"/>
              </w:rPr>
              <w:t>human rights assessment</w:t>
            </w: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The purpose is to ensure that there is no breach of human rights of the young person in ending support.</w:t>
            </w:r>
          </w:p>
          <w:p w:rsidR="34A8FF2F" w:rsidP="34A8FF2F" w:rsidRDefault="34A8FF2F" w14:paraId="31678A7C">
            <w:pPr>
              <w:pStyle w:val="paragraph"/>
              <w:spacing w:before="0" w:beforeAutospacing="off" w:after="0" w:afterAutospacing="off"/>
              <w:jc w:val="both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2679B99F" w:rsidP="34A8FF2F" w:rsidRDefault="2679B99F" w14:paraId="6B1010E8" w14:textId="49DCDE4B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A breach of human rights would arise if a young person </w:t>
            </w: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would be</w:t>
            </w:r>
            <w:r w:rsidRPr="33D4FD36" w:rsidR="2679B99F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left homeless and destitute as a result of the termination of support, unless it is established that they are able to return to their country of origin. </w:t>
            </w:r>
            <w:r w:rsidRPr="33D4FD36" w:rsidR="2679B99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E221AF" w:rsidP="34A8FF2F" w:rsidRDefault="00E221AF" w14:paraId="168F1FBF" w14:textId="55DC4BE2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:rsidR="00AE4966" w:rsidP="34A8FF2F" w:rsidRDefault="00AE4966" w14:paraId="71D8AF64" w14:textId="0D3387A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</w:pPr>
      <w:r w:rsidRPr="33D4FD36" w:rsidR="00AE4966"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  <w:t>When to carry out a human rights assessmen</w:t>
      </w:r>
      <w:r w:rsidRPr="33D4FD36" w:rsidR="003451C1"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  <w:t>t</w:t>
      </w:r>
    </w:p>
    <w:p w:rsidR="003451C1" w:rsidP="3A8BC2A0" w:rsidRDefault="003451C1" w14:paraId="0CE89992" w14:textId="52581F79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:rsidR="00D91DD9" w:rsidP="3A8BC2A0" w:rsidRDefault="00D91DD9" w14:paraId="5A0A6C7E" w14:textId="0F6D2A3A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</w:pPr>
      <w:r w:rsidR="00D91DD9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Due to delays in the legal aid and asylum systems, it is likely that unaccompanied children seeking asylum will turn 18 before their claim is accepted or refused. </w:t>
      </w:r>
    </w:p>
    <w:p w:rsidR="34A8FF2F" w:rsidP="34A8FF2F" w:rsidRDefault="34A8FF2F" w14:paraId="3F78FD17" w14:textId="1541B18B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:rsidR="003451C1" w:rsidP="3A8BC2A0" w:rsidRDefault="003451C1" w14:paraId="2CE1CFD4" w14:textId="69F9A472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</w:pPr>
      <w:r w:rsidRPr="00D91DD9" w:rsidR="003451C1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When a </w:t>
      </w:r>
      <w:r w:rsidR="00D91DD9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care leaver</w:t>
      </w:r>
      <w:r w:rsidRPr="00D91DD9" w:rsidR="003451C1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becomes “appeal rights exhausted” (their asylum claim has been refused and they do not have a pending appeal or another application) the Home Office will end funding to their local authority after three months, </w:t>
      </w:r>
      <w:r w:rsidRPr="00D91DD9" w:rsidR="003451C1">
        <w:rPr>
          <w:rStyle w:val="normaltextrun"/>
          <w:rFonts w:ascii="Calibri" w:hAnsi="Calibri" w:cs="Calibri"/>
          <w:b w:val="1"/>
          <w:bCs w:val="1"/>
          <w:sz w:val="22"/>
          <w:szCs w:val="22"/>
          <w:shd w:val="clear" w:color="auto" w:fill="FFFF00"/>
          <w:lang w:val="en-US"/>
        </w:rPr>
        <w:t xml:space="preserve">unless </w:t>
      </w:r>
      <w:r w:rsidRPr="00D91DD9" w:rsidR="003451C1">
        <w:rPr>
          <w:rStyle w:val="normaltextrun"/>
          <w:rFonts w:ascii="Calibri" w:hAnsi="Calibri" w:cs="Calibri"/>
          <w:b w:val="1"/>
          <w:bCs w:val="1"/>
          <w:sz w:val="22"/>
          <w:szCs w:val="22"/>
          <w:shd w:val="clear" w:color="auto" w:fill="FFFF00"/>
          <w:lang w:val="en-US"/>
        </w:rPr>
        <w:t>they complete a human rights assessment that concludes there is a barrier to the young person's return to their country of origin</w:t>
      </w:r>
      <w:r w:rsidRPr="00D91DD9" w:rsidR="003451C1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 This is why a local authority might be in a position of needing to carry out a human rights assessment.</w:t>
      </w:r>
    </w:p>
    <w:p w:rsidRPr="003451C1" w:rsidR="003451C1" w:rsidP="3F35D602" w:rsidRDefault="003451C1" w14:paraId="19BC4FF5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</w:p>
    <w:p w:rsidR="00DE7677" w:rsidP="34A8FF2F" w:rsidRDefault="00D91DD9" w14:paraId="510E6EF5" w14:textId="6DFDC41D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D4FD36" w:rsidR="00D91D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However, a full human rights assessment may not be necessary.</w:t>
      </w:r>
      <w:r w:rsidRPr="33D4FD36" w:rsidR="46CE27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These steps should be followed:</w:t>
      </w:r>
    </w:p>
    <w:p w:rsidR="00DE7677" w:rsidP="34A8FF2F" w:rsidRDefault="00D91DD9" w14:paraId="28CC1DA0" w14:textId="30038433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DE7677" w:rsidP="34A8FF2F" w:rsidRDefault="00D91DD9" w14:paraId="05E57700" w14:textId="088375A9">
      <w:pPr>
        <w:pStyle w:val="paragraph"/>
        <w:numPr>
          <w:ilvl w:val="0"/>
          <w:numId w:val="11"/>
        </w:numPr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3D4FD36" w:rsidR="7C6095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Immigration advice: </w:t>
      </w:r>
      <w:r w:rsidRPr="33D4FD36" w:rsidR="00DE76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Before beginning the process, </w:t>
      </w:r>
      <w:r w:rsidRPr="33D4FD36" w:rsidR="00DE7677">
        <w:rPr>
          <w:rFonts w:ascii="Segoe UI" w:hAnsi="Segoe UI" w:cs="Segoe UI"/>
          <w:sz w:val="18"/>
          <w:szCs w:val="18"/>
        </w:rPr>
        <w:t>t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he local authority should ensure that the young person has access to proper, quality </w:t>
      </w:r>
      <w:r w:rsidRPr="33D4FD36" w:rsidR="00DE7677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>immigration advice</w:t>
      </w:r>
      <w:r w:rsidRPr="33D4FD36" w:rsidR="7292A6CE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>.</w:t>
      </w:r>
      <w:r w:rsidRPr="33D4FD36" w:rsidR="7292A6CE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 </w:t>
      </w:r>
      <w:r w:rsidRPr="33D4FD36" w:rsidR="7292A6CE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 xml:space="preserve">This may lead to </w:t>
      </w:r>
      <w:r w:rsidRPr="33D4FD36" w:rsidR="7292A6CE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>a possible appeal</w:t>
      </w:r>
      <w:r w:rsidRPr="33D4FD36" w:rsidR="7292A6CE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 xml:space="preserve"> or another application.</w:t>
      </w:r>
      <w:r w:rsidRPr="33D4FD36" w:rsidR="00DE7677">
        <w:rPr>
          <w:rStyle w:val="normaltextrun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r w:rsidRPr="33D4FD36" w:rsidR="3EF51185">
        <w:rPr>
          <w:rStyle w:val="normaltextrun"/>
          <w:rFonts w:ascii="Calibri" w:hAnsi="Calibri" w:cs="Calibri"/>
          <w:sz w:val="22"/>
          <w:szCs w:val="22"/>
          <w:lang w:val="en-US"/>
        </w:rPr>
        <w:t>D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ifficulty in </w:t>
      </w:r>
      <w:r w:rsidRPr="33D4FD36" w:rsidR="228965D4">
        <w:rPr>
          <w:rStyle w:val="normaltextrun"/>
          <w:rFonts w:ascii="Calibri" w:hAnsi="Calibri" w:cs="Calibri"/>
          <w:sz w:val="22"/>
          <w:szCs w:val="22"/>
          <w:lang w:val="en-US"/>
        </w:rPr>
        <w:t>accessing legal advice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should not be a reason to end support. It is not the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social worker’s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role </w:t>
      </w:r>
      <w:r w:rsidRPr="33D4FD36" w:rsidR="30DF50A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in carrying out a human rights assessment 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to consider the merits of </w:t>
      </w:r>
      <w:r w:rsidRPr="33D4FD36" w:rsidR="49BE2EFE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an 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asylum claim. If the young person 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>di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>scloses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ny 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>ne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>w information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</w:t>
      </w:r>
      <w:r w:rsidRPr="33D4FD36" w:rsidR="00DE7677">
        <w:rPr>
          <w:rStyle w:val="normaltextrun"/>
          <w:rFonts w:ascii="Calibri" w:hAnsi="Calibri" w:cs="Calibri"/>
          <w:sz w:val="22"/>
          <w:szCs w:val="22"/>
          <w:lang w:val="en-US"/>
        </w:rPr>
        <w:t>r gets any more evidence relating to their asylum claim, they should receive further immigration advice ahead of the human rights assessment.</w:t>
      </w:r>
      <w:r w:rsidRPr="33D4FD36" w:rsidR="00DE7677">
        <w:rPr>
          <w:rStyle w:val="eop"/>
          <w:rFonts w:ascii="Calibri" w:hAnsi="Calibri" w:cs="Calibri"/>
          <w:sz w:val="22"/>
          <w:szCs w:val="22"/>
        </w:rPr>
        <w:t> </w:t>
      </w:r>
      <w:r w:rsidRPr="33D4FD36" w:rsidR="0DB8E8B0">
        <w:rPr>
          <w:rStyle w:val="eop"/>
          <w:rFonts w:ascii="Calibri" w:hAnsi="Calibri" w:cs="Calibri"/>
          <w:sz w:val="22"/>
          <w:szCs w:val="22"/>
        </w:rPr>
        <w:t xml:space="preserve"> </w:t>
      </w:r>
    </w:p>
    <w:p w:rsidR="006C6668" w:rsidP="3F35D602" w:rsidRDefault="006C6668" w14:paraId="29D47680" w14:textId="4F12E7A8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DE7677" w:rsidP="34A8FF2F" w:rsidRDefault="00DE7677" w14:paraId="40DABC32" w14:textId="18AEE94D">
      <w:pPr>
        <w:pStyle w:val="paragraph"/>
        <w:numPr>
          <w:ilvl w:val="0"/>
          <w:numId w:val="11"/>
        </w:numPr>
        <w:spacing w:before="0" w:beforeAutospacing="off" w:after="0" w:afterAutospacing="off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3D4FD36" w:rsidR="174E25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Barriers to removal: </w:t>
      </w:r>
      <w:r w:rsidRPr="33D4FD36" w:rsidR="2BA3C0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Support should only be ended if the human rights assessment finds that there </w:t>
      </w:r>
      <w:r w:rsidRPr="33D4FD36" w:rsidR="5F9806C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are</w:t>
      </w:r>
      <w:r w:rsidRPr="33D4FD36" w:rsidR="2BA3C0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no barrier</w:t>
      </w:r>
      <w:r w:rsidRPr="33D4FD36" w:rsidR="277703F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33D4FD36" w:rsidR="2BA3C0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removing the young person from the UK. Barriers to removal and </w:t>
      </w:r>
      <w:r w:rsidRPr="33D4FD36" w:rsidR="5900D6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reasons why support </w:t>
      </w:r>
      <w:r w:rsidRPr="33D4FD36" w:rsidR="4223C44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must </w:t>
      </w:r>
      <w:r w:rsidRPr="33D4FD36" w:rsidR="5900D6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not be </w:t>
      </w:r>
      <w:r w:rsidRPr="33D4FD36" w:rsidR="2BA3C0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end</w:t>
      </w:r>
      <w:r w:rsidRPr="33D4FD36" w:rsidR="1B2E5C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ed</w:t>
      </w:r>
      <w:r w:rsidRPr="33D4FD36" w:rsidR="2BA3C0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include</w:t>
      </w:r>
      <w:r w:rsidRPr="33D4FD36" w:rsidR="7078C5A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 young </w:t>
      </w:r>
      <w:r w:rsidRPr="33D4FD36" w:rsidR="7078C5A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person having</w:t>
      </w:r>
      <w:r w:rsidRPr="33D4FD36" w:rsidR="2BA3C00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="006C6668" w:rsidP="3F35D602" w:rsidRDefault="006C6668" w14:paraId="4D9C1B55" w14:textId="38A28754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33D4FD36" w:rsidR="006C6668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 </w:t>
      </w:r>
    </w:p>
    <w:p w:rsidR="006C6668" w:rsidP="34A8FF2F" w:rsidRDefault="006C6668" w14:paraId="31942500" w14:textId="5DE0F77D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/>
        <w:jc w:val="both"/>
        <w:textAlignment w:val="baseline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</w:pPr>
      <w:r w:rsidR="48C6D64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An </w:t>
      </w:r>
      <w:r w:rsidR="5358322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o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utstanding immigration application or further submissions 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6C6668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6C6668" w:rsidP="34A8FF2F" w:rsidRDefault="006C6668" w14:textId="7F355EDF" w14:paraId="769637C8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/>
        <w:jc w:val="both"/>
        <w:textAlignment w:val="baseline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</w:pP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A fresh claim </w:t>
      </w:r>
    </w:p>
    <w:p w:rsidR="006C6668" w:rsidP="34A8FF2F" w:rsidRDefault="006C6668" w14:textId="7F355EDF" w14:paraId="7D814FE7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/>
        <w:jc w:val="both"/>
        <w:textAlignment w:val="baseline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</w:pP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Other legal barriers, for example criminal proceedings.</w:t>
      </w:r>
    </w:p>
    <w:p w:rsidR="006C6668" w:rsidP="3F35D602" w:rsidRDefault="006C6668" w14:paraId="43EAEFB7" w14:textId="0C1168E5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="79F49C4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A </w:t>
      </w:r>
      <w:r w:rsidR="6C4A111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c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hange in 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circumstance</w:t>
      </w:r>
      <w:r w:rsidR="08B5654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 </w:t>
      </w:r>
      <w:r w:rsidRPr="34A8FF2F" w:rsidR="2FBBAB66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that</w:t>
      </w:r>
      <w:r w:rsidR="2FBBAB6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 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means they might be eligible for another form of leave to 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remain</w:t>
      </w: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 xml:space="preserve"> in the UK, such as private life or family life.</w:t>
      </w:r>
    </w:p>
    <w:p w:rsidR="006C6668" w:rsidP="3F35D602" w:rsidRDefault="006C6668" w14:paraId="5FC7D43A" w14:textId="3D7D5EB6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="006C66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en-US"/>
        </w:rPr>
        <w:t>Practical issues, such as medical issues or inability to obtain travel documents.</w:t>
      </w:r>
      <w:r w:rsidR="006C6668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6C6668" w:rsidP="34A8FF2F" w:rsidRDefault="006C6668" w14:paraId="781A205E" w14:textId="2A9D7DD9">
      <w:pPr>
        <w:pStyle w:val="paragraph"/>
        <w:shd w:val="clear" w:color="auto" w:fill="FFFFFF" w:themeFill="background1"/>
        <w:spacing w:before="0" w:beforeAutospacing="off" w:after="0" w:afterAutospacing="off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33D4FD36" w:rsidR="006C6668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 </w:t>
      </w:r>
    </w:p>
    <w:p w:rsidR="006C6668" w:rsidP="33D4FD36" w:rsidRDefault="006C6668" w14:paraId="61642E15" w14:textId="1C9B6111">
      <w:pPr>
        <w:pStyle w:val="paragraph"/>
        <w:shd w:val="clear" w:color="auto" w:fill="FFFFFF" w:themeFill="background1"/>
        <w:spacing w:before="0" w:beforeAutospacing="off" w:after="0" w:afterAutospacing="off"/>
        <w:ind w:firstLine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33D4FD36" w:rsidR="05900D8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one of these</w:t>
      </w:r>
      <w:r w:rsidRPr="33D4FD36" w:rsidR="0C49E2D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, or any other practic</w:t>
      </w:r>
      <w:r w:rsidRPr="33D4FD36" w:rsidR="4616305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al </w:t>
      </w:r>
      <w:r w:rsidRPr="33D4FD36" w:rsidR="0C49E2D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issue,</w:t>
      </w: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 is </w:t>
      </w: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identified</w:t>
      </w: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3D4FD36" w:rsidR="78402434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local authority </w:t>
      </w:r>
      <w:r w:rsidRPr="33D4FD36" w:rsidR="006C666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support </w:t>
      </w:r>
      <w:r w:rsidRPr="33D4FD36" w:rsidR="16A77B6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should</w:t>
      </w:r>
      <w:r w:rsidRPr="33D4FD36" w:rsidR="40DCA8D7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D4FD36" w:rsidR="006C666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n-US"/>
        </w:rPr>
        <w:t>continue. </w:t>
      </w:r>
      <w:r w:rsidRPr="33D4FD36" w:rsidR="006C6668"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 </w:t>
      </w:r>
    </w:p>
    <w:p w:rsidR="006C6668" w:rsidP="33D4FD36" w:rsidRDefault="006C6668" w14:paraId="5B48C44D" w14:textId="77777777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337ED456" w:rsidP="33D4FD36" w:rsidRDefault="337ED456" w14:paraId="5F2D1538" w14:textId="0E24FB99">
      <w:pPr>
        <w:pStyle w:val="paragraph"/>
        <w:shd w:val="clear" w:color="auto" w:fill="FFFFFF" w:themeFill="background1"/>
        <w:spacing w:before="0" w:beforeAutospacing="off" w:after="0" w:afterAutospacing="off"/>
        <w:ind w:firstLine="0"/>
        <w:jc w:val="both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33D4FD36" w:rsidR="28911F64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Please note that a</w:t>
      </w:r>
      <w:r w:rsidRPr="33D4FD36" w:rsidR="337ED456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lthough asylum support may be available, the courts have found that this </w:t>
      </w:r>
      <w:r>
        <w:tab/>
      </w:r>
      <w:r w:rsidRPr="33D4FD36" w:rsidR="337ED456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should not be a reason to end</w:t>
      </w:r>
      <w:r w:rsidRPr="33D4FD36" w:rsidR="13EC0E8B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33D4FD36" w:rsidR="5970CAF9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care leaver support. </w:t>
      </w:r>
    </w:p>
    <w:p w:rsidR="006C6668" w:rsidP="45D42BCA" w:rsidRDefault="006C6668" w14:paraId="64F6398F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</w:pPr>
    </w:p>
    <w:p w:rsidR="006C6668" w:rsidP="34A8FF2F" w:rsidRDefault="006C6668" w14:textId="678AD3F8" w14:paraId="175B9027">
      <w:pPr>
        <w:pStyle w:val="paragraph"/>
        <w:numPr>
          <w:ilvl w:val="0"/>
          <w:numId w:val="11"/>
        </w:numPr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34A8FF2F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shd w:val="clear" w:color="auto" w:fill="FFFF00"/>
          <w:lang w:val="en-US"/>
        </w:rPr>
        <w:t xml:space="preserve">If a human rights assessment is </w:t>
      </w:r>
      <w:r w:rsidRPr="34A8FF2F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shd w:val="clear" w:color="auto" w:fill="FFFF00"/>
          <w:lang w:val="en-US"/>
        </w:rPr>
        <w:t>deemed</w:t>
      </w:r>
      <w:r w:rsidRPr="34A8FF2F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shd w:val="clear" w:color="auto" w:fill="FFFF00"/>
          <w:lang w:val="en-US"/>
        </w:rPr>
        <w:t xml:space="preserve"> </w:t>
      </w:r>
      <w:r w:rsidRPr="34A8FF2F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shd w:val="clear" w:color="auto" w:fill="FFFF00"/>
          <w:lang w:val="en-US"/>
        </w:rPr>
        <w:t>absolutely necessary</w:t>
      </w:r>
      <w:r w:rsidRPr="006C6668" w:rsidR="006C6668">
        <w:rPr>
          <w:rStyle w:val="normaltextrun"/>
          <w:rFonts w:ascii="Calibri" w:hAnsi="Calibri" w:cs="Calibri"/>
          <w:b w:val="0"/>
          <w:bCs w:val="0"/>
          <w:sz w:val="22"/>
          <w:szCs w:val="22"/>
          <w:shd w:val="clear" w:color="auto" w:fill="FFFF00"/>
          <w:lang w:val="en-US"/>
        </w:rPr>
        <w:t xml:space="preserve">,</w:t>
      </w:r>
      <w:r w:rsidRPr="006C6668" w:rsidR="006C666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we recommend using resources </w:t>
      </w:r>
      <w:r w:rsidRPr="006C6668" w:rsidR="006C666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fro</w:t>
      </w:r>
      <w:r w:rsidRPr="006C6668" w:rsidR="006C666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m</w:t>
      </w:r>
      <w:r w:rsidRPr="006C6668" w:rsidR="006C666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</w:t>
      </w:r>
      <w:r w:rsidRPr="006C6668" w:rsidR="006C6668">
        <w:rPr>
          <w:rStyle w:val="normaltextrun"/>
          <w:rFonts w:ascii="Calibri" w:hAnsi="Calibri" w:cs="Calibri"/>
          <w:sz w:val="22"/>
          <w:szCs w:val="22"/>
          <w:lang w:val="en-US"/>
        </w:rPr>
        <w:t>NRPF</w:t>
      </w:r>
      <w:r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1F75D63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N</w:t>
      </w:r>
      <w:r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etwork</w:t>
      </w:r>
      <w:r w:rsidR="6DC9FBD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(see below)</w:t>
      </w:r>
      <w:r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</w:t>
      </w:r>
      <w:r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They </w:t>
      </w:r>
      <w:r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provide training on completing a human rights assessment, guidance on how to complete one, and a template for a human rights assessment. </w:t>
      </w:r>
    </w:p>
    <w:p w:rsidR="006C6668" w:rsidP="33D4FD36" w:rsidRDefault="006C6668" w14:paraId="36E28672" w14:textId="5625716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  </w:t>
      </w:r>
      <w:r w:rsidRPr="33D4FD36" w:rsidR="006C6668">
        <w:rPr>
          <w:rStyle w:val="eop"/>
          <w:rFonts w:ascii="Calibri" w:hAnsi="Calibri" w:cs="Calibri"/>
          <w:sz w:val="22"/>
          <w:szCs w:val="22"/>
        </w:rPr>
        <w:t> </w:t>
      </w:r>
    </w:p>
    <w:p w:rsidRPr="006C6668" w:rsidR="006C6668" w:rsidP="34A8FF2F" w:rsidRDefault="006C6668" w14:paraId="7A9CD045" w14:textId="2A19995E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4"/>
          <w:szCs w:val="24"/>
        </w:rPr>
      </w:pPr>
      <w:r w:rsidRPr="33D4FD36" w:rsidR="006C6668"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  <w:t>Safety planning</w:t>
      </w:r>
    </w:p>
    <w:p w:rsidR="34A8FF2F" w:rsidP="34A8FF2F" w:rsidRDefault="34A8FF2F" w14:paraId="2067B944" w14:textId="5BBF207D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006C6668" w:rsidP="34A8FF2F" w:rsidRDefault="006C6668" w14:paraId="212C94EC" w14:textId="57C56BC8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time surrounding an asylum claim refusal and a potential human rights assessment is likely to be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very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distressing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for any young person. </w:t>
      </w:r>
      <w:r w:rsidRPr="33D4FD36" w:rsidR="3A37AD9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 </w:t>
      </w:r>
      <w:r w:rsidRPr="33D4FD36" w:rsidR="7E940138">
        <w:rPr>
          <w:rStyle w:val="normaltextrun"/>
          <w:rFonts w:ascii="Calibri" w:hAnsi="Calibri" w:cs="Calibri"/>
          <w:sz w:val="22"/>
          <w:szCs w:val="22"/>
          <w:lang w:val="en-US"/>
        </w:rPr>
        <w:t>T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here </w:t>
      </w:r>
      <w:r w:rsidRPr="33D4FD36" w:rsidR="560A9E10">
        <w:rPr>
          <w:rStyle w:val="normaltextrun"/>
          <w:rFonts w:ascii="Calibri" w:hAnsi="Calibri" w:cs="Calibri"/>
          <w:sz w:val="22"/>
          <w:szCs w:val="22"/>
          <w:lang w:val="en-US"/>
        </w:rPr>
        <w:t>is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 increased risk of </w:t>
      </w:r>
      <w:r w:rsidRPr="33D4FD36" w:rsidR="2AC4F633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young people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going missing, or “underground”- living and working outside of the immigration system. </w:t>
      </w:r>
      <w:r w:rsidRPr="33D4FD36" w:rsidR="04587603">
        <w:rPr>
          <w:rStyle w:val="normaltextrun"/>
          <w:rFonts w:ascii="Calibri" w:hAnsi="Calibri" w:cs="Calibri"/>
          <w:sz w:val="22"/>
          <w:szCs w:val="22"/>
          <w:lang w:val="en-US"/>
        </w:rPr>
        <w:t>There is a further risk that young people may feel let down and abandoned by the local authority and the professionals supporting them.</w:t>
      </w:r>
      <w:r w:rsidRPr="33D4FD36" w:rsidR="07B674A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Social work managers and supervisors should also be aware of the potential emotional impact carrying out human rights assessments could have on staff.</w:t>
      </w:r>
    </w:p>
    <w:p w:rsidR="006C6668" w:rsidP="34A8FF2F" w:rsidRDefault="006C6668" w14:paraId="1AF30DA1" w14:textId="2628D8F9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</w:pPr>
      <w:r w:rsidRPr="33D4FD36" w:rsidR="326E1EF9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We recommend:</w:t>
      </w:r>
    </w:p>
    <w:p w:rsidR="006C6668" w:rsidP="34A8FF2F" w:rsidRDefault="006C6668" w14:paraId="64A2B5E1" w14:textId="6B0DA8FC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:rsidR="006C6668" w:rsidP="34A8FF2F" w:rsidRDefault="006C6668" w14:paraId="41873312" w14:textId="423D81BF">
      <w:pPr>
        <w:pStyle w:val="paragraph"/>
        <w:numPr>
          <w:ilvl w:val="0"/>
          <w:numId w:val="13"/>
        </w:numPr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3D4FD36" w:rsidR="224DA71E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Social workers should </w:t>
      </w:r>
      <w:r w:rsidRPr="33D4FD36" w:rsidR="5821A4D2">
        <w:rPr>
          <w:rStyle w:val="normaltextrun"/>
          <w:rFonts w:ascii="Calibri" w:hAnsi="Calibri" w:cs="Calibri"/>
          <w:sz w:val="22"/>
          <w:szCs w:val="22"/>
          <w:lang w:val="en-US"/>
        </w:rPr>
        <w:t>undertake</w:t>
      </w:r>
      <w:r w:rsidRPr="33D4FD36" w:rsidR="224DA71E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33D4FD36" w:rsidR="4B79C7F9">
        <w:rPr>
          <w:rStyle w:val="normaltextrun"/>
          <w:rFonts w:ascii="Calibri" w:hAnsi="Calibri" w:cs="Calibri"/>
          <w:sz w:val="22"/>
          <w:szCs w:val="22"/>
          <w:lang w:val="en-US"/>
        </w:rPr>
        <w:t>a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dditional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planning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to ensure the young person's safety throughout and after </w:t>
      </w:r>
      <w:r w:rsidRPr="33D4FD36" w:rsidR="228A7F5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 human rights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assessment. </w:t>
      </w:r>
      <w:r w:rsidRPr="33D4FD36" w:rsidR="2793CFC8">
        <w:rPr>
          <w:rStyle w:val="normaltextrun"/>
          <w:rFonts w:ascii="Calibri" w:hAnsi="Calibri" w:cs="Calibri"/>
          <w:sz w:val="22"/>
          <w:szCs w:val="22"/>
          <w:lang w:val="en-US"/>
        </w:rPr>
        <w:t>For example, young people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should receive 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additional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 emotional support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outside of the assessment and decision. </w:t>
      </w:r>
    </w:p>
    <w:p w:rsidR="006C6668" w:rsidP="34A8FF2F" w:rsidRDefault="006C6668" w14:paraId="60A3D25E" w14:textId="598BE8BD">
      <w:pPr>
        <w:pStyle w:val="paragraph"/>
        <w:numPr>
          <w:ilvl w:val="0"/>
          <w:numId w:val="13"/>
        </w:numPr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Social workers should be aware of any 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exploitation or trafficking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young person has experienced, any current risks</w:t>
      </w:r>
      <w:r w:rsidRPr="33D4FD36" w:rsidR="54B148C6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this should inform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additiona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safety planning. </w:t>
      </w:r>
      <w:r w:rsidRPr="33D4FD36" w:rsidR="006C6668">
        <w:rPr>
          <w:rStyle w:val="eop"/>
          <w:rFonts w:ascii="Calibri" w:hAnsi="Calibri" w:cs="Calibri"/>
          <w:sz w:val="22"/>
          <w:szCs w:val="22"/>
        </w:rPr>
        <w:t> </w:t>
      </w:r>
    </w:p>
    <w:p w:rsidR="006C6668" w:rsidP="34A8FF2F" w:rsidRDefault="006C6668" w14:paraId="24D55F42" w14:textId="7BE64E2B">
      <w:pPr>
        <w:pStyle w:val="paragraph"/>
        <w:numPr>
          <w:ilvl w:val="0"/>
          <w:numId w:val="13"/>
        </w:numPr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3D4FD36" w:rsidR="6716FB57">
        <w:rPr>
          <w:rStyle w:val="normaltextrun"/>
          <w:rFonts w:ascii="Calibri" w:hAnsi="Calibri" w:cs="Calibri"/>
          <w:sz w:val="22"/>
          <w:szCs w:val="22"/>
          <w:lang w:val="en-US"/>
        </w:rPr>
        <w:t>W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 recommend having 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sensitive conversations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about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possible outcomes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of the asylum process and the impact on </w:t>
      </w:r>
      <w:r w:rsidRPr="33D4FD36" w:rsidR="61BC7EF5">
        <w:rPr>
          <w:rStyle w:val="normaltextrun"/>
          <w:rFonts w:ascii="Calibri" w:hAnsi="Calibri" w:cs="Calibri"/>
          <w:sz w:val="22"/>
          <w:szCs w:val="22"/>
          <w:lang w:val="en-US"/>
        </w:rPr>
        <w:t>lo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cal </w:t>
      </w:r>
      <w:r w:rsidRPr="33D4FD36" w:rsidR="0329698C">
        <w:rPr>
          <w:rStyle w:val="normaltextrun"/>
          <w:rFonts w:ascii="Calibri" w:hAnsi="Calibri" w:cs="Calibri"/>
          <w:sz w:val="22"/>
          <w:szCs w:val="22"/>
          <w:lang w:val="en-US"/>
        </w:rPr>
        <w:t>a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uthority support 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throughout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young person's time being looked after. Young people should not feel blindsided by the </w:t>
      </w:r>
      <w:r w:rsidRPr="33D4FD36" w:rsidR="1C0A6A23">
        <w:rPr>
          <w:rStyle w:val="normaltextrun"/>
          <w:rFonts w:ascii="Calibri" w:hAnsi="Calibri" w:cs="Calibri"/>
          <w:sz w:val="22"/>
          <w:szCs w:val="22"/>
          <w:lang w:val="en-US"/>
        </w:rPr>
        <w:t>h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uman </w:t>
      </w:r>
      <w:r w:rsidRPr="33D4FD36" w:rsidR="73144149">
        <w:rPr>
          <w:rStyle w:val="normaltextrun"/>
          <w:rFonts w:ascii="Calibri" w:hAnsi="Calibri" w:cs="Calibri"/>
          <w:sz w:val="22"/>
          <w:szCs w:val="22"/>
          <w:lang w:val="en-US"/>
        </w:rPr>
        <w:t>r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ights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assessment, and the end of </w:t>
      </w:r>
      <w:r w:rsidRPr="33D4FD36" w:rsidR="57BB4F59">
        <w:rPr>
          <w:rStyle w:val="normaltextrun"/>
          <w:rFonts w:ascii="Calibri" w:hAnsi="Calibri" w:cs="Calibri"/>
          <w:sz w:val="22"/>
          <w:szCs w:val="22"/>
          <w:lang w:val="en-US"/>
        </w:rPr>
        <w:t>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ocal </w:t>
      </w:r>
      <w:r w:rsidRPr="33D4FD36" w:rsidR="703C3816">
        <w:rPr>
          <w:rStyle w:val="normaltextrun"/>
          <w:rFonts w:ascii="Calibri" w:hAnsi="Calibri" w:cs="Calibri"/>
          <w:sz w:val="22"/>
          <w:szCs w:val="22"/>
          <w:lang w:val="en-US"/>
        </w:rPr>
        <w:t>a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uthority support if that is the outcome. </w:t>
      </w:r>
      <w:r w:rsidRPr="33D4FD36" w:rsidR="006C6668">
        <w:rPr>
          <w:rStyle w:val="eop"/>
          <w:rFonts w:ascii="Calibri" w:hAnsi="Calibri" w:cs="Calibri"/>
          <w:sz w:val="22"/>
          <w:szCs w:val="22"/>
        </w:rPr>
        <w:t> </w:t>
      </w:r>
    </w:p>
    <w:p w:rsidR="006C6668" w:rsidP="34A8FF2F" w:rsidRDefault="006C6668" w14:paraId="78906B27" w14:textId="5E576E30">
      <w:pPr>
        <w:pStyle w:val="paragraph"/>
        <w:numPr>
          <w:ilvl w:val="0"/>
          <w:numId w:val="13"/>
        </w:numPr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3D4FD36" w:rsidR="2CCE9111">
        <w:rPr>
          <w:rStyle w:val="normaltextrun"/>
          <w:rFonts w:ascii="Calibri" w:hAnsi="Calibri" w:cs="Calibri"/>
          <w:sz w:val="22"/>
          <w:szCs w:val="22"/>
          <w:lang w:val="en-US"/>
        </w:rPr>
        <w:t>Working with young people and their solicitors</w:t>
      </w:r>
      <w:r w:rsidRPr="33D4FD36" w:rsidR="183AAD6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including </w:t>
      </w:r>
      <w:r w:rsidRPr="33D4FD36" w:rsidR="183AAD60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attending meetings and interviews</w:t>
      </w:r>
      <w:r w:rsidRPr="33D4FD36" w:rsidR="183AAD60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  <w:r w:rsidRPr="33D4FD36" w:rsidR="2CCE911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33D4FD36" w:rsidR="2CCE9111">
        <w:rPr>
          <w:rStyle w:val="normaltextrun"/>
          <w:rFonts w:ascii="Calibri" w:hAnsi="Calibri" w:cs="Calibri"/>
          <w:sz w:val="22"/>
          <w:szCs w:val="22"/>
          <w:lang w:val="en-US"/>
        </w:rPr>
        <w:t>throughout the asylum process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will ensure social workers have a better understanding of the basis of the young person's asylum claim </w:t>
      </w:r>
      <w:r w:rsidRPr="33D4FD36" w:rsidR="4826A23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and </w:t>
      </w:r>
      <w:r w:rsidRPr="33D4FD36" w:rsidR="4826A230">
        <w:rPr>
          <w:rStyle w:val="normaltextrun"/>
          <w:rFonts w:ascii="Calibri" w:hAnsi="Calibri" w:cs="Calibri"/>
          <w:sz w:val="22"/>
          <w:szCs w:val="22"/>
          <w:lang w:val="en-US"/>
        </w:rPr>
        <w:t>possible outcomes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33D4FD36" w:rsidR="2D4D1B5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This will make it easier to have conversations with young people about potential human rights assessments. </w:t>
      </w:r>
      <w:r w:rsidRPr="33D4FD36" w:rsidR="1E38725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It will </w:t>
      </w:r>
      <w:r w:rsidRPr="33D4FD36" w:rsidR="0AE231F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also </w:t>
      </w:r>
      <w:r w:rsidRPr="33D4FD36" w:rsidR="1E38725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help </w:t>
      </w:r>
      <w:r w:rsidRPr="33D4FD36" w:rsidR="6064E087">
        <w:rPr>
          <w:rStyle w:val="normaltextrun"/>
          <w:rFonts w:ascii="Calibri" w:hAnsi="Calibri" w:cs="Calibri"/>
          <w:sz w:val="22"/>
          <w:szCs w:val="22"/>
          <w:lang w:val="en-US"/>
        </w:rPr>
        <w:t>s</w:t>
      </w:r>
      <w:r w:rsidRPr="33D4FD36" w:rsidR="2D4D1B5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ocial workers </w:t>
      </w:r>
      <w:r w:rsidRPr="33D4FD36" w:rsidR="4078B68A">
        <w:rPr>
          <w:rStyle w:val="normaltextrun"/>
          <w:rFonts w:ascii="Calibri" w:hAnsi="Calibri" w:cs="Calibri"/>
          <w:sz w:val="22"/>
          <w:szCs w:val="22"/>
          <w:lang w:val="en-US"/>
        </w:rPr>
        <w:t>to gather supporting evidence for any</w:t>
      </w:r>
      <w:r w:rsidRPr="33D4FD36" w:rsidR="2D4D1B5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applications, appeals or fresh claims</w:t>
      </w:r>
      <w:r w:rsidRPr="33D4FD36" w:rsidR="385C0716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</w:p>
    <w:p w:rsidR="006C6668" w:rsidP="33D4FD36" w:rsidRDefault="006C6668" w14:paraId="3D5FC4BE" w14:textId="5300D015">
      <w:pPr>
        <w:pStyle w:val="paragraph"/>
        <w:numPr>
          <w:ilvl w:val="0"/>
          <w:numId w:val="13"/>
        </w:numPr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Triple planning </w:t>
      </w:r>
      <w:r w:rsidRPr="33D4FD36" w:rsidR="4670A573">
        <w:rPr>
          <w:rStyle w:val="normaltextrun"/>
          <w:rFonts w:ascii="Calibri" w:hAnsi="Calibri" w:cs="Calibri"/>
          <w:sz w:val="22"/>
          <w:szCs w:val="22"/>
          <w:lang w:val="en-US"/>
        </w:rPr>
        <w:t>will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help manage uncertainty</w:t>
      </w:r>
      <w:r w:rsidRPr="33D4FD36" w:rsidR="70FBAED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for both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professionals and </w:t>
      </w:r>
      <w:r w:rsidRPr="33D4FD36" w:rsidR="1F23BA23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young people, ensuring they know what the possible outcomes are. </w:t>
      </w:r>
      <w:r w:rsidRPr="33D4FD36" w:rsidR="1F23BA23">
        <w:rPr>
          <w:rStyle w:val="normaltextrun"/>
          <w:rFonts w:ascii="Calibri" w:hAnsi="Calibri" w:cs="Calibri"/>
          <w:sz w:val="22"/>
          <w:szCs w:val="22"/>
          <w:lang w:val="en-US"/>
        </w:rPr>
        <w:t>H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>owever</w:t>
      </w:r>
      <w:r w:rsidRPr="33D4FD36" w:rsidR="3E492DEF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, </w:t>
      </w:r>
      <w:r w:rsidRPr="33D4FD36" w:rsidR="0652075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 human rights assessment </w:t>
      </w:r>
      <w:r w:rsidRPr="33D4FD36" w:rsidR="3995264B">
        <w:rPr>
          <w:rStyle w:val="normaltextrun"/>
          <w:rFonts w:ascii="Calibri" w:hAnsi="Calibri" w:cs="Calibri"/>
          <w:sz w:val="22"/>
          <w:szCs w:val="22"/>
          <w:lang w:val="en-US"/>
        </w:rPr>
        <w:t>can still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be a distressing time for social workers. We recommend 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>additional</w:t>
      </w:r>
      <w:r w:rsidRPr="33D4FD36" w:rsidR="006C6668">
        <w:rPr>
          <w:rStyle w:val="normaltextrun"/>
          <w:rFonts w:ascii="Calibri" w:hAnsi="Calibri" w:cs="Calibri"/>
          <w:b w:val="1"/>
          <w:bCs w:val="1"/>
          <w:sz w:val="22"/>
          <w:szCs w:val="22"/>
          <w:lang w:val="en-US"/>
        </w:rPr>
        <w:t xml:space="preserve"> supervision and reflection</w:t>
      </w:r>
      <w:r w:rsidRPr="33D4FD36" w:rsidR="006C666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throughout. </w:t>
      </w:r>
      <w:r w:rsidRPr="33D4FD36" w:rsidR="006C6668">
        <w:rPr>
          <w:rStyle w:val="eop"/>
          <w:rFonts w:ascii="Calibri" w:hAnsi="Calibri" w:cs="Calibri"/>
          <w:sz w:val="22"/>
          <w:szCs w:val="22"/>
        </w:rPr>
        <w:t> </w:t>
      </w:r>
      <w:r w:rsidRPr="33D4FD36" w:rsidR="6045D4F6">
        <w:rPr>
          <w:rStyle w:val="eop"/>
          <w:rFonts w:ascii="Calibri" w:hAnsi="Calibri" w:cs="Calibri"/>
          <w:sz w:val="22"/>
          <w:szCs w:val="22"/>
        </w:rPr>
        <w:t>(Please see our Triple Planning resource for more advice).</w:t>
      </w:r>
    </w:p>
    <w:p w:rsidR="33D4FD36" w:rsidP="33D4FD36" w:rsidRDefault="33D4FD36" w14:paraId="56CA6255" w14:textId="1A99A1F5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</w:p>
    <w:p w:rsidR="33D4FD36" w:rsidP="33D4FD36" w:rsidRDefault="33D4FD36" w14:paraId="64D5F669" w14:textId="268E3F80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</w:p>
    <w:p w:rsidR="33D4FD36" w:rsidP="33D4FD36" w:rsidRDefault="33D4FD36" w14:paraId="44F0E754" w14:textId="78BCE053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</w:p>
    <w:p w:rsidR="33D4FD36" w:rsidP="33D4FD36" w:rsidRDefault="33D4FD36" w14:paraId="1A5B1270" w14:textId="42524EBB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</w:p>
    <w:p w:rsidR="006C6668" w:rsidP="34A8FF2F" w:rsidRDefault="006C6668" w14:paraId="2673E0DD" w14:textId="087E9164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/>
          <w:sz w:val="24"/>
          <w:szCs w:val="24"/>
        </w:rPr>
      </w:pP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4"/>
          <w:szCs w:val="24"/>
          <w:u w:val="single"/>
          <w:lang w:val="en-US"/>
        </w:rPr>
        <w:t>Further information and advice: </w:t>
      </w:r>
      <w:r w:rsidRPr="33D4FD36" w:rsidR="006C6668">
        <w:rPr>
          <w:rStyle w:val="eop"/>
          <w:rFonts w:ascii="Calibri" w:hAnsi="Calibri" w:cs="Calibri"/>
          <w:color w:val="000000" w:themeColor="text1" w:themeTint="FF" w:themeShade="FF"/>
          <w:sz w:val="24"/>
          <w:szCs w:val="24"/>
        </w:rPr>
        <w:t> </w:t>
      </w:r>
    </w:p>
    <w:p w:rsidR="006C6668" w:rsidP="3F35D602" w:rsidRDefault="006C6668" w14:paraId="46865667" w14:textId="4A1DD742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6C6668" w:rsidP="3F35D602" w:rsidRDefault="006C6668" w14:paraId="2AAD7846" w14:textId="0164E30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If you are supporting a care leaver who has become </w:t>
      </w: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appeal rights exhausted</w:t>
      </w:r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 xml:space="preserve">, you can refer to GMIAU through our online form for further immigration advice. If you have any questions, you can contact </w:t>
      </w:r>
      <w:hyperlink r:id="R66538af645a54b95">
        <w:r w:rsidRPr="33D4FD36" w:rsidR="006C6668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kathleen@gmiau.org</w:t>
        </w:r>
      </w:hyperlink>
      <w:r w:rsidRPr="33D4FD36" w:rsidR="006C6668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  <w:lang w:val="en-US"/>
        </w:rPr>
        <w:t> </w:t>
      </w:r>
      <w:r w:rsidRPr="33D4FD36" w:rsidR="006C6668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006C6668" w:rsidP="33D4FD36" w:rsidRDefault="006C6668" w14:paraId="5BEBDA83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3D4FD36" w:rsidR="006C6668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006C6668" w:rsidP="33D4FD36" w:rsidRDefault="006C6668" w14:paraId="04053109" w14:textId="54818D92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4"/>
          <w:szCs w:val="24"/>
        </w:rPr>
      </w:pPr>
      <w:r w:rsidRPr="33D4FD36" w:rsidR="006C6668">
        <w:rPr>
          <w:rStyle w:val="normaltextrun"/>
          <w:rFonts w:ascii="Calibri" w:hAnsi="Calibri" w:cs="Calibri"/>
          <w:sz w:val="24"/>
          <w:szCs w:val="24"/>
          <w:u w:val="single"/>
          <w:lang w:val="en-US"/>
        </w:rPr>
        <w:t>Resources:</w:t>
      </w:r>
    </w:p>
    <w:p w:rsidR="5BD1AB14" w:rsidP="33D4FD36" w:rsidRDefault="5BD1AB14" w14:paraId="4AF37192" w14:textId="4835F432">
      <w:pPr>
        <w:spacing w:before="240" w:beforeAutospacing="off" w:after="240" w:afterAutospacing="off"/>
        <w:rPr>
          <w:rStyle w:val="Hyperlink"/>
          <w:rFonts w:ascii="Calibri" w:hAnsi="Calibri" w:eastAsia="Calibri" w:cs="Calibri"/>
          <w:noProof w:val="0"/>
          <w:sz w:val="22"/>
          <w:szCs w:val="22"/>
          <w:lang w:val="en-GB"/>
        </w:rPr>
      </w:pPr>
      <w:hyperlink w:anchor="contents" r:id="Rab01603785ba46b1">
        <w:r w:rsidRPr="33D4FD36" w:rsidR="5BD1AB1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NRPF Network's guidance on when and how to undertake a human rights assessment:</w:t>
        </w:r>
      </w:hyperlink>
      <w:r w:rsidRPr="33D4FD36" w:rsidR="5BD1AB1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https://guidance.nrpfnetwork.org.uk/reader/human-rights-assessment/#contents</w:t>
      </w:r>
    </w:p>
    <w:p w:rsidR="5BD1AB14" w:rsidP="33D4FD36" w:rsidRDefault="5BD1AB14" w14:paraId="3B8EABB0" w14:textId="65D08E5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217f585fd620498b">
        <w:r w:rsidRPr="33D4FD36" w:rsidR="5BD1AB1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NRPF Network's human rights assessment template</w:t>
        </w:r>
        <w:r>
          <w:br/>
        </w:r>
      </w:hyperlink>
      <w:r w:rsidRPr="33D4FD36" w:rsidR="5BD1AB14">
        <w:rPr>
          <w:rFonts w:ascii="Calibri" w:hAnsi="Calibri" w:eastAsia="Calibri" w:cs="Calibri"/>
          <w:noProof w:val="0"/>
          <w:sz w:val="22"/>
          <w:szCs w:val="22"/>
          <w:lang w:val="en-GB"/>
        </w:rPr>
        <w:t>https://www.nrpfnetwork.org.uk/news/human-rights-assessments</w:t>
      </w:r>
    </w:p>
    <w:p w:rsidR="5BD1AB14" w:rsidP="33D4FD36" w:rsidRDefault="5BD1AB14" w14:paraId="67A74E60" w14:textId="4B17DB4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42428d3a384f454a">
        <w:r w:rsidRPr="33D4FD36" w:rsidR="5BD1AB1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Leaving care funding instructions to local authorities 2024 to 2025   </w:t>
        </w:r>
        <w:r>
          <w:br/>
        </w:r>
      </w:hyperlink>
      <w:r w:rsidRPr="33D4FD36" w:rsidR="5BD1AB14">
        <w:rPr>
          <w:rFonts w:ascii="Calibri" w:hAnsi="Calibri" w:eastAsia="Calibri" w:cs="Calibri"/>
          <w:noProof w:val="0"/>
          <w:sz w:val="22"/>
          <w:szCs w:val="22"/>
          <w:lang w:val="en-GB"/>
        </w:rPr>
        <w:t>https://www.gov.uk/government/publications/unaccompanied-asylum-seeking-children-uasc-grant-instructions/leaving-care-funding-instructions-to-local-authorities-2023-to-2024-accessible</w:t>
      </w:r>
    </w:p>
    <w:p w:rsidR="31C2E1FF" w:rsidP="33D4FD36" w:rsidRDefault="31C2E1FF" w14:paraId="17F1B6C6" w14:textId="097D45BD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46956a3f52774c4e">
        <w:r w:rsidRPr="33D4FD36" w:rsidR="31C2E1F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Statutory guidance on care of unaccompanied migrant children and child victims of modern slavery</w:t>
        </w:r>
        <w:r>
          <w:br/>
        </w:r>
      </w:hyperlink>
      <w:r w:rsidRPr="33D4FD36" w:rsidR="1F2721A8">
        <w:rPr>
          <w:rFonts w:ascii="Calibri" w:hAnsi="Calibri" w:eastAsia="Calibri" w:cs="Calibri"/>
          <w:noProof w:val="0"/>
          <w:sz w:val="22"/>
          <w:szCs w:val="22"/>
          <w:lang w:val="en-GB"/>
        </w:rPr>
        <w:t>https://assets.publishing.service.gov.uk/media/5a823a6e40f0b6230269b850/UASC_Statutory_Guidance_2017.pd</w:t>
      </w:r>
      <w:r w:rsidRPr="33D4FD36" w:rsidR="02E970C8">
        <w:rPr>
          <w:rFonts w:ascii="Calibri" w:hAnsi="Calibri" w:eastAsia="Calibri" w:cs="Calibri"/>
          <w:noProof w:val="0"/>
          <w:sz w:val="22"/>
          <w:szCs w:val="22"/>
          <w:lang w:val="en-GB"/>
        </w:rPr>
        <w:t>f</w:t>
      </w:r>
    </w:p>
    <w:p w:rsidR="33D4FD36" w:rsidP="33D4FD36" w:rsidRDefault="33D4FD36" w14:paraId="31F13C1D" w14:textId="0C5C56F4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sectPr w:rsidR="006C6668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d5709d138354756"/>
      <w:footerReference w:type="default" r:id="R6d235ede26784e1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A8FF2F" w:rsidTr="34A8FF2F" w14:paraId="5E26F645">
      <w:trPr>
        <w:trHeight w:val="300"/>
      </w:trPr>
      <w:tc>
        <w:tcPr>
          <w:tcW w:w="3005" w:type="dxa"/>
          <w:tcMar/>
        </w:tcPr>
        <w:p w:rsidR="34A8FF2F" w:rsidP="34A8FF2F" w:rsidRDefault="34A8FF2F" w14:paraId="0ECB53ED" w14:textId="0E3592B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4A8FF2F" w:rsidP="34A8FF2F" w:rsidRDefault="34A8FF2F" w14:paraId="21E82457" w14:textId="0101304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4A8FF2F" w:rsidP="34A8FF2F" w:rsidRDefault="34A8FF2F" w14:paraId="2669FDD5" w14:textId="30DC9EB7">
          <w:pPr>
            <w:pStyle w:val="Header"/>
            <w:bidi w:val="0"/>
            <w:ind w:right="-115"/>
            <w:jc w:val="right"/>
          </w:pPr>
        </w:p>
      </w:tc>
    </w:tr>
  </w:tbl>
  <w:p w:rsidR="34A8FF2F" w:rsidP="34A8FF2F" w:rsidRDefault="34A8FF2F" w14:paraId="345A9DD9" w14:textId="77E1935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A8FF2F" w:rsidTr="34A8FF2F" w14:paraId="0C6CE163">
      <w:trPr>
        <w:trHeight w:val="300"/>
      </w:trPr>
      <w:tc>
        <w:tcPr>
          <w:tcW w:w="3005" w:type="dxa"/>
          <w:tcMar/>
        </w:tcPr>
        <w:p w:rsidR="34A8FF2F" w:rsidP="34A8FF2F" w:rsidRDefault="34A8FF2F" w14:paraId="35DE5DE5" w14:textId="2C58E875">
          <w:pPr>
            <w:pStyle w:val="Header"/>
            <w:bidi w:val="0"/>
            <w:ind w:left="-115"/>
            <w:jc w:val="left"/>
          </w:pPr>
          <w:r w:rsidR="34A8FF2F">
            <w:drawing>
              <wp:inline wp14:editId="6277D22F" wp14:anchorId="345592CD">
                <wp:extent cx="3154089" cy="516772"/>
                <wp:effectExtent l="0" t="0" r="0" b="0"/>
                <wp:docPr id="155373883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a86ee2513664e7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4089" cy="516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4A8FF2F" w:rsidP="34A8FF2F" w:rsidRDefault="34A8FF2F" w14:paraId="1C3415AE" w14:textId="7220E45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4A8FF2F" w:rsidP="34A8FF2F" w:rsidRDefault="34A8FF2F" w14:paraId="4A218E51" w14:textId="6F0DF96B">
          <w:pPr>
            <w:pStyle w:val="Header"/>
            <w:bidi w:val="0"/>
            <w:ind w:right="-115"/>
            <w:jc w:val="right"/>
          </w:pPr>
        </w:p>
      </w:tc>
    </w:tr>
  </w:tbl>
  <w:p w:rsidR="34A8FF2F" w:rsidP="34A8FF2F" w:rsidRDefault="34A8FF2F" w14:paraId="33ED55AE" w14:textId="5AD9D3C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3ad5b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1a6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ee2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2692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835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2F2CAD"/>
    <w:multiLevelType w:val="multilevel"/>
    <w:tmpl w:val="6A68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FD83013"/>
    <w:multiLevelType w:val="multilevel"/>
    <w:tmpl w:val="F110B33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408F1"/>
    <w:multiLevelType w:val="multilevel"/>
    <w:tmpl w:val="6860B1F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63233"/>
    <w:multiLevelType w:val="multilevel"/>
    <w:tmpl w:val="05D892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94643"/>
    <w:multiLevelType w:val="multilevel"/>
    <w:tmpl w:val="68D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52D6774"/>
    <w:multiLevelType w:val="multilevel"/>
    <w:tmpl w:val="377C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7EB6CD1"/>
    <w:multiLevelType w:val="multilevel"/>
    <w:tmpl w:val="B794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DDF2410"/>
    <w:multiLevelType w:val="multilevel"/>
    <w:tmpl w:val="7C5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8"/>
    <w:rsid w:val="00081544"/>
    <w:rsid w:val="003451C1"/>
    <w:rsid w:val="005CC595"/>
    <w:rsid w:val="00630F3A"/>
    <w:rsid w:val="006C6668"/>
    <w:rsid w:val="00AE4966"/>
    <w:rsid w:val="00D91DD9"/>
    <w:rsid w:val="00DD77E6"/>
    <w:rsid w:val="00DE7677"/>
    <w:rsid w:val="00E221AF"/>
    <w:rsid w:val="0113D13B"/>
    <w:rsid w:val="01359902"/>
    <w:rsid w:val="0188A4E1"/>
    <w:rsid w:val="01D1E127"/>
    <w:rsid w:val="026F49A3"/>
    <w:rsid w:val="02DC8159"/>
    <w:rsid w:val="02E970C8"/>
    <w:rsid w:val="0329698C"/>
    <w:rsid w:val="03DAF68A"/>
    <w:rsid w:val="044F0CF0"/>
    <w:rsid w:val="04587603"/>
    <w:rsid w:val="04AFC6A9"/>
    <w:rsid w:val="04F9585B"/>
    <w:rsid w:val="05900D82"/>
    <w:rsid w:val="0611DD37"/>
    <w:rsid w:val="06520757"/>
    <w:rsid w:val="067A9457"/>
    <w:rsid w:val="06FA8EF2"/>
    <w:rsid w:val="071C47CE"/>
    <w:rsid w:val="0728D6DB"/>
    <w:rsid w:val="07AEB0F2"/>
    <w:rsid w:val="07B674AC"/>
    <w:rsid w:val="085259B9"/>
    <w:rsid w:val="08B56540"/>
    <w:rsid w:val="08F897EC"/>
    <w:rsid w:val="08F98DA0"/>
    <w:rsid w:val="0985528D"/>
    <w:rsid w:val="09923412"/>
    <w:rsid w:val="09AF7164"/>
    <w:rsid w:val="0A59D1A3"/>
    <w:rsid w:val="0AE231FC"/>
    <w:rsid w:val="0BEF3293"/>
    <w:rsid w:val="0BFA0FBB"/>
    <w:rsid w:val="0C49E2DC"/>
    <w:rsid w:val="0C741A72"/>
    <w:rsid w:val="0CAABC81"/>
    <w:rsid w:val="0D34EEC9"/>
    <w:rsid w:val="0DA551B6"/>
    <w:rsid w:val="0DB8E8B0"/>
    <w:rsid w:val="0DFF8454"/>
    <w:rsid w:val="0E8D01DF"/>
    <w:rsid w:val="0F1AA362"/>
    <w:rsid w:val="0F7C9231"/>
    <w:rsid w:val="102E4D9C"/>
    <w:rsid w:val="10839AE1"/>
    <w:rsid w:val="1136716A"/>
    <w:rsid w:val="12321860"/>
    <w:rsid w:val="12725EB3"/>
    <w:rsid w:val="12C7DC9B"/>
    <w:rsid w:val="13EC0E8B"/>
    <w:rsid w:val="1424713B"/>
    <w:rsid w:val="14CC1249"/>
    <w:rsid w:val="14D70FB4"/>
    <w:rsid w:val="1662D0C5"/>
    <w:rsid w:val="1665C2E0"/>
    <w:rsid w:val="169F6A4B"/>
    <w:rsid w:val="16A77B68"/>
    <w:rsid w:val="16DA3CEB"/>
    <w:rsid w:val="174E25F2"/>
    <w:rsid w:val="175C85A9"/>
    <w:rsid w:val="17623B5E"/>
    <w:rsid w:val="17CB94D1"/>
    <w:rsid w:val="180F0870"/>
    <w:rsid w:val="181C5F7F"/>
    <w:rsid w:val="183AAD60"/>
    <w:rsid w:val="18521EB7"/>
    <w:rsid w:val="189CB274"/>
    <w:rsid w:val="19D5A60D"/>
    <w:rsid w:val="1B2E5CCA"/>
    <w:rsid w:val="1C0A6A23"/>
    <w:rsid w:val="1C4845A8"/>
    <w:rsid w:val="1C8F7DC7"/>
    <w:rsid w:val="1C9FEC01"/>
    <w:rsid w:val="1CBAF59C"/>
    <w:rsid w:val="1D0254FA"/>
    <w:rsid w:val="1D7529E5"/>
    <w:rsid w:val="1D91E13F"/>
    <w:rsid w:val="1DA0C28A"/>
    <w:rsid w:val="1E387255"/>
    <w:rsid w:val="1F23BA23"/>
    <w:rsid w:val="1F2721A8"/>
    <w:rsid w:val="1F75D63A"/>
    <w:rsid w:val="1F7D451D"/>
    <w:rsid w:val="1FA1D147"/>
    <w:rsid w:val="20AA2DD8"/>
    <w:rsid w:val="2129627E"/>
    <w:rsid w:val="2164CE0E"/>
    <w:rsid w:val="2200431A"/>
    <w:rsid w:val="224DA71E"/>
    <w:rsid w:val="228965D4"/>
    <w:rsid w:val="228A7F50"/>
    <w:rsid w:val="22C1CD6B"/>
    <w:rsid w:val="230C4536"/>
    <w:rsid w:val="2365A99B"/>
    <w:rsid w:val="243A2646"/>
    <w:rsid w:val="24493F41"/>
    <w:rsid w:val="24A6BC53"/>
    <w:rsid w:val="2559F254"/>
    <w:rsid w:val="256EE34E"/>
    <w:rsid w:val="262CF329"/>
    <w:rsid w:val="264BE587"/>
    <w:rsid w:val="2679B99F"/>
    <w:rsid w:val="2753800E"/>
    <w:rsid w:val="277703F2"/>
    <w:rsid w:val="2793CFC8"/>
    <w:rsid w:val="2798549B"/>
    <w:rsid w:val="279BA174"/>
    <w:rsid w:val="27BC2221"/>
    <w:rsid w:val="285FF66B"/>
    <w:rsid w:val="2877D410"/>
    <w:rsid w:val="28911F64"/>
    <w:rsid w:val="2911067F"/>
    <w:rsid w:val="297A972A"/>
    <w:rsid w:val="29D7FB96"/>
    <w:rsid w:val="29EB40A3"/>
    <w:rsid w:val="2A273A35"/>
    <w:rsid w:val="2A59C56F"/>
    <w:rsid w:val="2AC4F633"/>
    <w:rsid w:val="2ADF299E"/>
    <w:rsid w:val="2B32FB43"/>
    <w:rsid w:val="2B38FF52"/>
    <w:rsid w:val="2BA3C000"/>
    <w:rsid w:val="2C5A46D1"/>
    <w:rsid w:val="2C5C8F8E"/>
    <w:rsid w:val="2C7C3AA5"/>
    <w:rsid w:val="2CCE9111"/>
    <w:rsid w:val="2D01F7EA"/>
    <w:rsid w:val="2D4D1B56"/>
    <w:rsid w:val="2D52035D"/>
    <w:rsid w:val="2DD42CEF"/>
    <w:rsid w:val="2DE000F2"/>
    <w:rsid w:val="2E2A8B78"/>
    <w:rsid w:val="2F0F256F"/>
    <w:rsid w:val="2F12C968"/>
    <w:rsid w:val="2FBBAB66"/>
    <w:rsid w:val="30DF50AD"/>
    <w:rsid w:val="311ADE3C"/>
    <w:rsid w:val="3125D5BB"/>
    <w:rsid w:val="315BABFA"/>
    <w:rsid w:val="31C2E1FF"/>
    <w:rsid w:val="322509CB"/>
    <w:rsid w:val="3267DB6D"/>
    <w:rsid w:val="326E1EF9"/>
    <w:rsid w:val="337ED456"/>
    <w:rsid w:val="33848BC5"/>
    <w:rsid w:val="33944A48"/>
    <w:rsid w:val="33D4FD36"/>
    <w:rsid w:val="3401764F"/>
    <w:rsid w:val="34A8FF2F"/>
    <w:rsid w:val="34C37285"/>
    <w:rsid w:val="35293485"/>
    <w:rsid w:val="35C50EC1"/>
    <w:rsid w:val="35F4D476"/>
    <w:rsid w:val="36740E1A"/>
    <w:rsid w:val="36AED12E"/>
    <w:rsid w:val="36F9D080"/>
    <w:rsid w:val="37061DED"/>
    <w:rsid w:val="373A4911"/>
    <w:rsid w:val="37C4777D"/>
    <w:rsid w:val="385C0716"/>
    <w:rsid w:val="386155A8"/>
    <w:rsid w:val="38637709"/>
    <w:rsid w:val="3865C9D8"/>
    <w:rsid w:val="38C10667"/>
    <w:rsid w:val="39780E87"/>
    <w:rsid w:val="3995264B"/>
    <w:rsid w:val="3A37AD98"/>
    <w:rsid w:val="3A4B193D"/>
    <w:rsid w:val="3A8BC2A0"/>
    <w:rsid w:val="3A973EA6"/>
    <w:rsid w:val="3ACAA0F0"/>
    <w:rsid w:val="3ADA054F"/>
    <w:rsid w:val="3AE80F85"/>
    <w:rsid w:val="3B4DFCFC"/>
    <w:rsid w:val="3C670420"/>
    <w:rsid w:val="3C7BA266"/>
    <w:rsid w:val="3CF93547"/>
    <w:rsid w:val="3E303DC6"/>
    <w:rsid w:val="3E492DEF"/>
    <w:rsid w:val="3E88FBB1"/>
    <w:rsid w:val="3EACDE00"/>
    <w:rsid w:val="3EF51185"/>
    <w:rsid w:val="3F35D602"/>
    <w:rsid w:val="40006148"/>
    <w:rsid w:val="4070DA91"/>
    <w:rsid w:val="4078B68A"/>
    <w:rsid w:val="40DCA8D7"/>
    <w:rsid w:val="410F1B28"/>
    <w:rsid w:val="415C3AA7"/>
    <w:rsid w:val="41B4D70D"/>
    <w:rsid w:val="421479D9"/>
    <w:rsid w:val="421DA73D"/>
    <w:rsid w:val="4223C441"/>
    <w:rsid w:val="424249A7"/>
    <w:rsid w:val="42D0205E"/>
    <w:rsid w:val="42D319D7"/>
    <w:rsid w:val="43246AE4"/>
    <w:rsid w:val="4337853D"/>
    <w:rsid w:val="454955B1"/>
    <w:rsid w:val="45590E72"/>
    <w:rsid w:val="456C29DC"/>
    <w:rsid w:val="45D42BCA"/>
    <w:rsid w:val="4616305D"/>
    <w:rsid w:val="4670A573"/>
    <w:rsid w:val="46811718"/>
    <w:rsid w:val="46AA7A6C"/>
    <w:rsid w:val="46CE2703"/>
    <w:rsid w:val="4758CC6E"/>
    <w:rsid w:val="47AB5C02"/>
    <w:rsid w:val="47E3DE8F"/>
    <w:rsid w:val="4826A230"/>
    <w:rsid w:val="48C6D646"/>
    <w:rsid w:val="48D7FEB7"/>
    <w:rsid w:val="48F4E737"/>
    <w:rsid w:val="48F56020"/>
    <w:rsid w:val="490CD72B"/>
    <w:rsid w:val="490DD368"/>
    <w:rsid w:val="49BE2EFE"/>
    <w:rsid w:val="4ACC8D23"/>
    <w:rsid w:val="4AF0CE5D"/>
    <w:rsid w:val="4B79C7F9"/>
    <w:rsid w:val="4BD14123"/>
    <w:rsid w:val="4C4170D8"/>
    <w:rsid w:val="4C7688F8"/>
    <w:rsid w:val="4CB60441"/>
    <w:rsid w:val="4CE8221D"/>
    <w:rsid w:val="4D22FD07"/>
    <w:rsid w:val="4DA22B5B"/>
    <w:rsid w:val="4DD689BB"/>
    <w:rsid w:val="4E226FB6"/>
    <w:rsid w:val="4ED7F6FE"/>
    <w:rsid w:val="4EEF024D"/>
    <w:rsid w:val="4F79DC81"/>
    <w:rsid w:val="4F890922"/>
    <w:rsid w:val="4F90A343"/>
    <w:rsid w:val="4FDEF4E3"/>
    <w:rsid w:val="511FE4EF"/>
    <w:rsid w:val="514E84EB"/>
    <w:rsid w:val="520248B3"/>
    <w:rsid w:val="531B545C"/>
    <w:rsid w:val="53291E87"/>
    <w:rsid w:val="5358322B"/>
    <w:rsid w:val="53C677B9"/>
    <w:rsid w:val="54067105"/>
    <w:rsid w:val="54B148C6"/>
    <w:rsid w:val="553EB4D8"/>
    <w:rsid w:val="560A9E10"/>
    <w:rsid w:val="56EF0C36"/>
    <w:rsid w:val="572C1012"/>
    <w:rsid w:val="57BB4F59"/>
    <w:rsid w:val="5821A4D2"/>
    <w:rsid w:val="5843C0BA"/>
    <w:rsid w:val="58596584"/>
    <w:rsid w:val="58C16E26"/>
    <w:rsid w:val="5900D681"/>
    <w:rsid w:val="5970CAF9"/>
    <w:rsid w:val="59F19582"/>
    <w:rsid w:val="5ABB976D"/>
    <w:rsid w:val="5AD84372"/>
    <w:rsid w:val="5BAA300C"/>
    <w:rsid w:val="5BD1AB14"/>
    <w:rsid w:val="5DC8331A"/>
    <w:rsid w:val="5E4AB0F6"/>
    <w:rsid w:val="5E5981D3"/>
    <w:rsid w:val="5E6419D2"/>
    <w:rsid w:val="5E77B9B9"/>
    <w:rsid w:val="5EC06B8B"/>
    <w:rsid w:val="5ECEFA5E"/>
    <w:rsid w:val="5EDB2087"/>
    <w:rsid w:val="5EF9DC6C"/>
    <w:rsid w:val="5F095572"/>
    <w:rsid w:val="5F9806CC"/>
    <w:rsid w:val="6011AD85"/>
    <w:rsid w:val="60193056"/>
    <w:rsid w:val="6045D4F6"/>
    <w:rsid w:val="604E8DF7"/>
    <w:rsid w:val="6064E087"/>
    <w:rsid w:val="60693C41"/>
    <w:rsid w:val="6070298D"/>
    <w:rsid w:val="619ECD49"/>
    <w:rsid w:val="61BC7EF5"/>
    <w:rsid w:val="62295A8D"/>
    <w:rsid w:val="6231B1C8"/>
    <w:rsid w:val="62625432"/>
    <w:rsid w:val="6280DA74"/>
    <w:rsid w:val="6346811F"/>
    <w:rsid w:val="6356EDE8"/>
    <w:rsid w:val="63B41599"/>
    <w:rsid w:val="6424C4F2"/>
    <w:rsid w:val="647C9C8D"/>
    <w:rsid w:val="6505E140"/>
    <w:rsid w:val="652F5AB7"/>
    <w:rsid w:val="65D72AFD"/>
    <w:rsid w:val="6602099B"/>
    <w:rsid w:val="662A280E"/>
    <w:rsid w:val="6683B057"/>
    <w:rsid w:val="66DA8A79"/>
    <w:rsid w:val="6716FB57"/>
    <w:rsid w:val="671C521D"/>
    <w:rsid w:val="67D383EF"/>
    <w:rsid w:val="67E2C5D3"/>
    <w:rsid w:val="683CB434"/>
    <w:rsid w:val="685B1137"/>
    <w:rsid w:val="68DD1F8C"/>
    <w:rsid w:val="6AC1BFAE"/>
    <w:rsid w:val="6BA8CB86"/>
    <w:rsid w:val="6C4A1117"/>
    <w:rsid w:val="6C4C0406"/>
    <w:rsid w:val="6C72AD70"/>
    <w:rsid w:val="6CBB5030"/>
    <w:rsid w:val="6D386E6B"/>
    <w:rsid w:val="6DC9FBD4"/>
    <w:rsid w:val="6EC7581F"/>
    <w:rsid w:val="70128427"/>
    <w:rsid w:val="703C3816"/>
    <w:rsid w:val="7078C5AA"/>
    <w:rsid w:val="70B178BC"/>
    <w:rsid w:val="70B2B14A"/>
    <w:rsid w:val="70FBAED8"/>
    <w:rsid w:val="710F6F62"/>
    <w:rsid w:val="723B6C53"/>
    <w:rsid w:val="7292A6CE"/>
    <w:rsid w:val="73144149"/>
    <w:rsid w:val="736F0B7F"/>
    <w:rsid w:val="73BEECC5"/>
    <w:rsid w:val="74682F56"/>
    <w:rsid w:val="7474EDA7"/>
    <w:rsid w:val="7490772F"/>
    <w:rsid w:val="751377A5"/>
    <w:rsid w:val="7547DD6B"/>
    <w:rsid w:val="75929533"/>
    <w:rsid w:val="75A39B56"/>
    <w:rsid w:val="75E106CC"/>
    <w:rsid w:val="765DEFD8"/>
    <w:rsid w:val="76703F54"/>
    <w:rsid w:val="78402434"/>
    <w:rsid w:val="785A9418"/>
    <w:rsid w:val="78EDE331"/>
    <w:rsid w:val="79F49C48"/>
    <w:rsid w:val="7A2D2CAF"/>
    <w:rsid w:val="7AC72012"/>
    <w:rsid w:val="7B7546FB"/>
    <w:rsid w:val="7B95BF82"/>
    <w:rsid w:val="7BA04ADC"/>
    <w:rsid w:val="7C60954D"/>
    <w:rsid w:val="7DBEAB05"/>
    <w:rsid w:val="7E34D387"/>
    <w:rsid w:val="7E42DB91"/>
    <w:rsid w:val="7E785026"/>
    <w:rsid w:val="7E940138"/>
    <w:rsid w:val="7F2CCC1E"/>
    <w:rsid w:val="7FF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02B3"/>
  <w15:chartTrackingRefBased/>
  <w15:docId w15:val="{F7B8A703-9C81-475D-AF27-86EE66A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C66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C6668"/>
  </w:style>
  <w:style w:type="character" w:styleId="eop" w:customStyle="1">
    <w:name w:val="eop"/>
    <w:basedOn w:val="DefaultParagraphFont"/>
    <w:rsid w:val="006C666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33D4FD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microsoft.com/office/2011/relationships/people" Target="people.xml" Id="Rfdb20f7d6b574322" /><Relationship Type="http://schemas.microsoft.com/office/2011/relationships/commentsExtended" Target="commentsExtended.xml" Id="Re577f36f779548ee" /><Relationship Type="http://schemas.microsoft.com/office/2016/09/relationships/commentsIds" Target="commentsIds.xml" Id="Re1e17b4b967e406c" /><Relationship Type="http://schemas.openxmlformats.org/officeDocument/2006/relationships/header" Target="header.xml" Id="R2d5709d138354756" /><Relationship Type="http://schemas.openxmlformats.org/officeDocument/2006/relationships/footer" Target="footer.xml" Id="R6d235ede26784e1a" /><Relationship Type="http://schemas.openxmlformats.org/officeDocument/2006/relationships/hyperlink" Target="mailto:kathleen@gmiau.org" TargetMode="External" Id="R66538af645a54b95" /><Relationship Type="http://schemas.openxmlformats.org/officeDocument/2006/relationships/hyperlink" Target="https://guidance.nrpfnetwork.org.uk/reader/human-rights-assessment/" TargetMode="External" Id="Rab01603785ba46b1" /><Relationship Type="http://schemas.openxmlformats.org/officeDocument/2006/relationships/hyperlink" Target="https://www.nrpfnetwork.org.uk/news/human-rights-assessments" TargetMode="External" Id="R217f585fd620498b" /><Relationship Type="http://schemas.openxmlformats.org/officeDocument/2006/relationships/hyperlink" Target="https://www.gov.uk/government/publications/unaccompanied-asylum-seeking-children-uasc-grant-instructions/leaving-care-funding-instructions-to-local-authorities-2023-to-2024-accessible" TargetMode="External" Id="R42428d3a384f454a" /><Relationship Type="http://schemas.openxmlformats.org/officeDocument/2006/relationships/hyperlink" Target="https://assets.publishing.service.gov.uk/media/5a823a6e40f0b6230269b850/UASC_Statutory_Guidance_2017.pdf" TargetMode="External" Id="R46956a3f52774c4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a86ee2513664e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3182371612A43B314CFA76C135C14" ma:contentTypeVersion="18" ma:contentTypeDescription="Create a new document." ma:contentTypeScope="" ma:versionID="b66ccad5d666f38c9d7e5bb4ab3b82e0">
  <xsd:schema xmlns:xsd="http://www.w3.org/2001/XMLSchema" xmlns:xs="http://www.w3.org/2001/XMLSchema" xmlns:p="http://schemas.microsoft.com/office/2006/metadata/properties" xmlns:ns2="247e1eee-c709-4f63-a7c1-1c8cdeb48843" xmlns:ns3="e29eb215-d54b-4d21-aa12-d13d1dfe1b34" targetNamespace="http://schemas.microsoft.com/office/2006/metadata/properties" ma:root="true" ma:fieldsID="8d74d4218210a648b8ef9afd392ac951" ns2:_="" ns3:_="">
    <xsd:import namespace="247e1eee-c709-4f63-a7c1-1c8cdeb48843"/>
    <xsd:import namespace="e29eb215-d54b-4d21-aa12-d13d1dfe1b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1eee-c709-4f63-a7c1-1c8cdeb488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807107-ee53-466c-a01d-f465dbdf38e7}" ma:internalName="TaxCatchAll" ma:showField="CatchAllData" ma:web="247e1eee-c709-4f63-a7c1-1c8cdeb48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eb215-d54b-4d21-aa12-d13d1dfe1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0ba919-c86f-44ec-8a54-a2fb094b5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7e1eee-c709-4f63-a7c1-1c8cdeb48843" xsi:nil="true"/>
    <lcf76f155ced4ddcb4097134ff3c332f xmlns="e29eb215-d54b-4d21-aa12-d13d1dfe1b34">
      <Terms xmlns="http://schemas.microsoft.com/office/infopath/2007/PartnerControls"/>
    </lcf76f155ced4ddcb4097134ff3c332f>
    <_dlc_DocId xmlns="247e1eee-c709-4f63-a7c1-1c8cdeb48843">44AKQMYYPJX3-1068106204-736417</_dlc_DocId>
    <_dlc_DocIdUrl xmlns="247e1eee-c709-4f63-a7c1-1c8cdeb48843">
      <Url>https://gmiau.sharepoint.com/sites/GMIAU-Shared4/_layouts/15/DocIdRedir.aspx?ID=44AKQMYYPJX3-1068106204-736417</Url>
      <Description>44AKQMYYPJX3-1068106204-736417</Description>
    </_dlc_DocIdUrl>
  </documentManagement>
</p:properties>
</file>

<file path=customXml/itemProps1.xml><?xml version="1.0" encoding="utf-8"?>
<ds:datastoreItem xmlns:ds="http://schemas.openxmlformats.org/officeDocument/2006/customXml" ds:itemID="{0B517473-7114-4C91-9BAA-D161817BEAA4}"/>
</file>

<file path=customXml/itemProps2.xml><?xml version="1.0" encoding="utf-8"?>
<ds:datastoreItem xmlns:ds="http://schemas.openxmlformats.org/officeDocument/2006/customXml" ds:itemID="{CAC4C351-1971-49BA-875D-F24850D55C3F}"/>
</file>

<file path=customXml/itemProps3.xml><?xml version="1.0" encoding="utf-8"?>
<ds:datastoreItem xmlns:ds="http://schemas.openxmlformats.org/officeDocument/2006/customXml" ds:itemID="{759396FB-32D8-45F0-ABB8-FAD7383AB3A6}"/>
</file>

<file path=customXml/itemProps4.xml><?xml version="1.0" encoding="utf-8"?>
<ds:datastoreItem xmlns:ds="http://schemas.openxmlformats.org/officeDocument/2006/customXml" ds:itemID="{915E1C62-7AFB-4B4F-B303-A20A137A6C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Rivka Shaw | GMIAU</dc:creator>
  <keywords/>
  <dc:description/>
  <lastModifiedBy>Rivka Shaw | GMIAU</lastModifiedBy>
  <revision>11</revision>
  <dcterms:created xsi:type="dcterms:W3CDTF">2024-10-15T10:24:00.0000000Z</dcterms:created>
  <dcterms:modified xsi:type="dcterms:W3CDTF">2024-12-09T17:03:12.2853969Z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0x010100E553182371612A43B314CFA76C135C14</vt:lpwstr>
  </property>
  <property fmtid="{D5CDD505-2E9C-101B-9397-08002B2CF9AE}" pid="3" name="_dlc_DocIdItemGuid">
    <vt:lpwstr>84c839c3-e86a-4048-a190-c0c64768867f</vt:lpwstr>
  </property>
  <property fmtid="{D5CDD505-2E9C-101B-9397-08002B2CF9AE}" pid="4" name="MediaServiceImageTags">
    <vt:lpwstr/>
  </property>
</Properties>
</file>